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sz w:val="40"/>
          <w:u w:val="single"/>
        </w:rPr>
        <w:t>Pacman Frog / Horned Frog (Ceratophrys spp.)</w:t>
      </w:r>
    </w:p>
    <w:p>
      <w:pPr>
        <w:spacing w:after="100"/>
      </w:pPr>
      <w:r>
        <w:rPr>
          <w:rFonts w:ascii="Arial" w:hAnsi="Arial"/>
          <w:b/>
          <w:sz w:val="26"/>
        </w:rPr>
        <w:t>Difficulty: Easy to Intermediate</w:t>
      </w:r>
    </w:p>
    <w:p>
      <w:pPr>
        <w:spacing w:after="80" w:line="240" w:lineRule="auto"/>
      </w:pPr>
      <w:r>
        <w:rPr>
          <w:rFonts w:ascii="Arial" w:hAnsi="Arial"/>
          <w:sz w:val="21"/>
        </w:rPr>
        <w:t>Pacman frogs are heavy-bodied, terrestrial ambush predators named for their enormous mouths and round shape. They spend much of the day partially buried with the eyes and top of the head exposed, then strike rapidly at moving prey. Burrowing and long periods of stillness are normal behavior, but they are not an excuse for a barren enclosure or minimal husbandry.</w:t>
      </w:r>
    </w:p>
    <w:p>
      <w:pPr>
        <w:spacing w:after="80" w:line="240" w:lineRule="auto"/>
      </w:pPr>
      <w:r>
        <w:rPr>
          <w:rFonts w:ascii="Arial" w:hAnsi="Arial"/>
          <w:sz w:val="21"/>
        </w:rPr>
        <w:t>“Pacman frog” is a trade name used for several Ceratophrys species. Most captive animals are Cranwell’s horned frogs (Ceratophrys cranwelli), but ornate, Surinam, Brazilian, fantasy hybrids, and other forms also occur. This guide is written around C. cranwelli, the most common captive species; confirm the exact species when possible because moisture, temperature, and seasonal needs can vary somewhat.</w:t>
      </w:r>
    </w:p>
    <w:p>
      <w:pPr>
        <w:spacing w:after="80" w:line="240" w:lineRule="auto"/>
      </w:pPr>
      <w:r>
        <w:rPr>
          <w:rFonts w:ascii="Arial" w:hAnsi="Arial"/>
          <w:sz w:val="21"/>
        </w:rPr>
        <w:t>C. cranwelli comes from the seasonal Gran Chaco of South America, not a permanently wet tropical swamp. Good long-term care therefore means deep diggable soil, clean water, moderate humidity with ventilation, a safe temperature gradient, varied nutrition, and enough space for the frog to choose between warmer, cooler, wetter, drier, brighter, and shaded areas. This guide intentionally describes a full permanent setup rather than the old “10-gallon box, wet coco fiber, no lighting” survival-level approach.</w:t>
      </w:r>
    </w:p>
    <w:p>
      <w:pPr>
        <w:spacing w:before="80" w:after="40"/>
      </w:pPr>
      <w:r>
        <w:rPr>
          <w:rFonts w:ascii="Arial" w:hAnsi="Arial"/>
          <w:b/>
          <w:sz w:val="27"/>
          <w:u w:val="single"/>
        </w:rPr>
        <w:t>Shopping List</w:t>
      </w:r>
    </w:p>
    <w:p>
      <w:pPr>
        <w:spacing w:after="80" w:line="240" w:lineRule="auto"/>
      </w:pPr>
      <w:r>
        <w:rPr>
          <w:rFonts w:ascii="Arial" w:hAnsi="Arial"/>
          <w:sz w:val="21"/>
        </w:rPr>
        <w:t>•  24” x 18” x 18” front-opening terrarium or equivalent adult enclosure; larger females benefit from additional floor space</w:t>
      </w:r>
    </w:p>
    <w:p>
      <w:pPr>
        <w:spacing w:after="80" w:line="240" w:lineRule="auto"/>
      </w:pPr>
      <w:r>
        <w:rPr>
          <w:rFonts w:ascii="Arial" w:hAnsi="Arial"/>
          <w:sz w:val="21"/>
        </w:rPr>
        <w:t>•  Secure ventilated lid - enough airflow to prevent stagnant, constantly wet conditions</w:t>
      </w:r>
    </w:p>
    <w:p>
      <w:pPr>
        <w:spacing w:after="80" w:line="240" w:lineRule="auto"/>
      </w:pPr>
      <w:r>
        <w:rPr>
          <w:rFonts w:ascii="Arial" w:hAnsi="Arial"/>
          <w:sz w:val="21"/>
        </w:rPr>
        <w:t>•  Low-output linear UVB fixture suitable for Ferguson Zone 1 exposure; recommended when it can be installed safely</w:t>
      </w:r>
    </w:p>
    <w:p>
      <w:pPr>
        <w:spacing w:after="80" w:line="240" w:lineRule="auto"/>
      </w:pPr>
      <w:r>
        <w:rPr>
          <w:rFonts w:ascii="Arial" w:hAnsi="Arial"/>
          <w:sz w:val="21"/>
        </w:rPr>
        <w:t>•  Low-wattage white overhead heat source on a dimming thermostat; no heat rocks or under-tank heating</w:t>
      </w:r>
    </w:p>
    <w:p>
      <w:pPr>
        <w:spacing w:after="80" w:line="240" w:lineRule="auto"/>
      </w:pPr>
      <w:r>
        <w:rPr>
          <w:rFonts w:ascii="Arial" w:hAnsi="Arial"/>
          <w:sz w:val="21"/>
        </w:rPr>
        <w:t>•  Daylight/plant LED and plug-in timer for a consistent day/night cycle and live plants if used</w:t>
      </w:r>
    </w:p>
    <w:p>
      <w:pPr>
        <w:spacing w:after="80" w:line="240" w:lineRule="auto"/>
      </w:pPr>
      <w:r>
        <w:rPr>
          <w:rFonts w:ascii="Arial" w:hAnsi="Arial"/>
          <w:sz w:val="21"/>
        </w:rPr>
        <w:t>•  Two digital probe thermometers plus a digital hygrometer; an infrared thermometer is also useful</w:t>
      </w:r>
    </w:p>
    <w:p>
      <w:pPr>
        <w:spacing w:after="80" w:line="240" w:lineRule="auto"/>
      </w:pPr>
      <w:r>
        <w:rPr>
          <w:rFonts w:ascii="Arial" w:hAnsi="Arial"/>
          <w:sz w:val="21"/>
        </w:rPr>
        <w:t>•  4-6”+ of soft, soil-like substrate such as fertilizer-free topsoil/coco-coir-based mix with leaf litter; deeper for large adults</w:t>
      </w:r>
    </w:p>
    <w:p>
      <w:pPr>
        <w:spacing w:after="80" w:line="240" w:lineRule="auto"/>
      </w:pPr>
      <w:r>
        <w:rPr>
          <w:rFonts w:ascii="Arial" w:hAnsi="Arial"/>
          <w:sz w:val="21"/>
        </w:rPr>
        <w:t>•  Large shallow water dish with an easy exit and enough room for the frog to soak without swimming</w:t>
      </w:r>
    </w:p>
    <w:p>
      <w:pPr>
        <w:spacing w:after="80" w:line="240" w:lineRule="auto"/>
      </w:pPr>
      <w:r>
        <w:rPr>
          <w:rFonts w:ascii="Arial" w:hAnsi="Arial"/>
          <w:sz w:val="21"/>
        </w:rPr>
        <w:t>•  Amphibian-safe water conditioner for chlorine/chloramine removal; bottled spring water is another option</w:t>
      </w:r>
    </w:p>
    <w:p>
      <w:pPr>
        <w:spacing w:after="80" w:line="240" w:lineRule="auto"/>
      </w:pPr>
      <w:r>
        <w:rPr>
          <w:rFonts w:ascii="Arial" w:hAnsi="Arial"/>
          <w:sz w:val="21"/>
        </w:rPr>
        <w:t>•  Low hides, cork flats, leaf litter, and live or artificial plants for shade and security</w:t>
      </w:r>
    </w:p>
    <w:p>
      <w:pPr>
        <w:spacing w:after="80" w:line="240" w:lineRule="auto"/>
      </w:pPr>
      <w:r>
        <w:rPr>
          <w:rFonts w:ascii="Arial" w:hAnsi="Arial"/>
          <w:sz w:val="21"/>
        </w:rPr>
        <w:t>•  Blunt or silicone-tipped feeding tongs and an optional smooth feeding dish/tile for messy juveniles</w:t>
      </w:r>
    </w:p>
    <w:p>
      <w:pPr>
        <w:spacing w:after="80" w:line="240" w:lineRule="auto"/>
      </w:pPr>
      <w:r>
        <w:rPr>
          <w:rFonts w:ascii="Arial" w:hAnsi="Arial"/>
          <w:sz w:val="21"/>
        </w:rPr>
        <w:t>•  Varied, gut-loaded feeders such as earthworms/nightcrawlers, dubia roaches, crickets, silkworms, and other appropriate invertebrates</w:t>
      </w:r>
    </w:p>
    <w:p>
      <w:pPr>
        <w:spacing w:after="80" w:line="240" w:lineRule="auto"/>
      </w:pPr>
      <w:r>
        <w:rPr>
          <w:rFonts w:ascii="Arial" w:hAnsi="Arial"/>
          <w:sz w:val="21"/>
        </w:rPr>
        <w:t>•  Calcium supplement, multivitamin containing usable/preformed vitamin A, and a D3 plan appropriate to whether UVB is provided</w:t>
      </w:r>
    </w:p>
    <w:p>
      <w:pPr>
        <w:spacing w:after="80" w:line="240" w:lineRule="auto"/>
      </w:pPr>
      <w:r>
        <w:rPr>
          <w:rFonts w:ascii="Arial" w:hAnsi="Arial"/>
          <w:sz w:val="21"/>
        </w:rPr>
        <w:t>•  Powder-free nitrile gloves or a clean damp transfer cup for the rare times the frog must be moved</w:t>
      </w:r>
    </w:p>
    <w:p>
      <w:pPr>
        <w:spacing w:before="80" w:after="40"/>
      </w:pPr>
      <w:r>
        <w:rPr>
          <w:rFonts w:ascii="Arial" w:hAnsi="Arial"/>
          <w:b/>
          <w:sz w:val="27"/>
        </w:rPr>
        <w:t>Housing</w:t>
      </w:r>
    </w:p>
    <w:p>
      <w:pPr>
        <w:spacing w:after="80" w:line="240" w:lineRule="auto"/>
      </w:pPr>
      <w:r>
        <w:rPr>
          <w:rFonts w:ascii="Arial" w:hAnsi="Arial"/>
          <w:sz w:val="21"/>
        </w:rPr>
        <w:t>Floor space matters more than height. For a permanent adult enclosure, Red Rocks recommends at least a 24” x 18” footprint with enough height for deep substrate, lighting, and a safe heat/UV gradient. A 10-gallon tank can work temporarily for a small juvenile or for quarantine, but it should not be treated as the ideal permanent adult setup simply because the species is sedentary.</w:t>
      </w:r>
    </w:p>
    <w:p>
      <w:pPr>
        <w:spacing w:after="80" w:line="240" w:lineRule="auto"/>
      </w:pPr>
      <w:r>
        <w:rPr>
          <w:rFonts w:ascii="Arial" w:hAnsi="Arial"/>
          <w:sz w:val="21"/>
        </w:rPr>
        <w:t>Provide enough loose substrate for the frog to bury its body completely. The enclosure should include at least one shaded retreat, leaf cover, and an open hunting area. Keep heavy décor stable and supported from the enclosure floor where necessary so a burrowing frog cannot undermine it and become trapped.</w:t>
      </w:r>
    </w:p>
    <w:p>
      <w:pPr>
        <w:spacing w:after="80" w:line="240" w:lineRule="auto"/>
      </w:pPr>
      <w:r>
        <w:rPr>
          <w:rFonts w:ascii="Arial" w:hAnsi="Arial"/>
          <w:sz w:val="21"/>
        </w:rPr>
        <w:t>Important: Pacman frogs must be housed individually. They are opportunistic predators with powerful jaws and may bite, injure, or swallow another frog. Cohabitation is not enrichment for this species.</w:t>
      </w:r>
    </w:p>
    <w:p>
      <w:pPr>
        <w:spacing w:before="80" w:after="40"/>
      </w:pPr>
      <w:r>
        <w:rPr>
          <w:rFonts w:ascii="Arial" w:hAnsi="Arial"/>
          <w:b/>
          <w:sz w:val="27"/>
        </w:rPr>
        <w:t>Lighting &amp; UVB</w:t>
      </w:r>
    </w:p>
    <w:p>
      <w:pPr>
        <w:spacing w:after="80" w:line="240" w:lineRule="auto"/>
      </w:pPr>
      <w:r>
        <w:rPr>
          <w:rFonts w:ascii="Arial" w:hAnsi="Arial"/>
          <w:sz w:val="21"/>
        </w:rPr>
        <w:t>Provide a consistent 10-12 hour day/night cycle. Visible light should be white and natural-looking, with shaded cover available. Do not use red, blue, purple, or other colored “night” bulbs; frogs should have darkness at night.</w:t>
      </w:r>
    </w:p>
    <w:p>
      <w:pPr>
        <w:spacing w:after="80" w:line="240" w:lineRule="auto"/>
      </w:pPr>
      <w:r>
        <w:rPr>
          <w:rFonts w:ascii="Arial" w:hAnsi="Arial"/>
          <w:sz w:val="21"/>
        </w:rPr>
        <w:t>Pacman frogs can be maintained without UVB when dietary vitamin D3 is managed correctly, but modern amphibian husbandry increasingly favors access to appropriately low UVB rather than assuming a burrowing animal receives no useful ultraviolet light. Amphibian research shows that UVB can contribute to vitamin D3 status and calcium metabolism, although species-specific dose studies for Ceratophrys are limited.</w:t>
      </w:r>
    </w:p>
    <w:p>
      <w:pPr>
        <w:spacing w:after="80" w:line="240" w:lineRule="auto"/>
      </w:pPr>
      <w:r>
        <w:rPr>
          <w:rFonts w:ascii="Arial" w:hAnsi="Arial"/>
          <w:sz w:val="21"/>
        </w:rPr>
        <w:t>Our recommendation: provide low-level Ferguson Zone 1 UVB when the enclosure is large enough to create a true gradient. Aim for roughly UVI 0.5-1.0 at the most exposed usable surface, while giving the frog shaded and buried retreats near zero UVI. A Solarmeter 6.5 is the best way to verify actual exposure because mesh, lamp type, reflector, and distance all change output.</w:t>
        <w:br/>
        <w:t>Use a low-output linear UVB lamp over only part of the enclosure rather than a strong desert lamp over the entire tank. Pigment-reduced/albino morphs warrant especially conservative exposure and abundant shade; target the low end of the range and never compensate for uncertainty by using a stronger bulb.</w:t>
      </w:r>
    </w:p>
    <w:p>
      <w:pPr>
        <w:spacing w:before="80" w:after="40"/>
      </w:pPr>
      <w:r>
        <w:rPr>
          <w:rFonts w:ascii="Arial" w:hAnsi="Arial"/>
          <w:b/>
          <w:sz w:val="27"/>
        </w:rPr>
        <w:t>Heating</w:t>
      </w:r>
    </w:p>
    <w:p>
      <w:pPr>
        <w:spacing w:after="80" w:line="240" w:lineRule="auto"/>
      </w:pPr>
      <w:r>
        <w:rPr>
          <w:rFonts w:ascii="Arial" w:hAnsi="Arial"/>
          <w:sz w:val="21"/>
        </w:rPr>
        <w:t>Create a gentle thermal gradient rather than one intense hot spot. A practical daytime target is about 75-80°F through most of the enclosure, with a warm area around 80-82°F. Night temperatures around 68-75°F are generally appropriate. Brief variation is normal, but sustained temperatures above the mid-80s can dehydrate and stress these frogs quickly.</w:t>
      </w:r>
    </w:p>
    <w:p>
      <w:pPr>
        <w:spacing w:after="80" w:line="240" w:lineRule="auto"/>
      </w:pPr>
      <w:r>
        <w:rPr>
          <w:rFonts w:ascii="Arial" w:hAnsi="Arial"/>
          <w:sz w:val="21"/>
        </w:rPr>
        <w:t>If supplemental heat is needed, use a low-wattage white halogen/incandescent-style lamp or other gentle overhead heat source controlled by a thermostat. Heat from above allows a burrowing frog to move downward and into shade to cool itself. Monitor both the air and the upper substrate, not just room temperature.</w:t>
      </w:r>
    </w:p>
    <w:p>
      <w:pPr>
        <w:spacing w:after="80" w:line="240" w:lineRule="auto"/>
      </w:pPr>
      <w:r>
        <w:rPr>
          <w:rFonts w:ascii="Arial" w:hAnsi="Arial"/>
          <w:sz w:val="21"/>
        </w:rPr>
        <w:t>Do not place a heat mat under the enclosure. Pacman frogs instinctively burrow deeper to escape heat; bottom heat can dry or overheat the exact refuge they are trying to use. Heat rocks should never be used. If nighttime heat is genuinely necessary, use a non-light-emitting source on a thermostat and keep the enclosure from drying out.</w:t>
      </w:r>
    </w:p>
    <w:p>
      <w:pPr>
        <w:spacing w:before="80" w:after="40"/>
      </w:pPr>
      <w:r>
        <w:rPr>
          <w:rFonts w:ascii="Arial" w:hAnsi="Arial"/>
          <w:b/>
          <w:sz w:val="27"/>
        </w:rPr>
        <w:t>Humidity</w:t>
      </w:r>
    </w:p>
    <w:p>
      <w:pPr>
        <w:spacing w:after="80" w:line="240" w:lineRule="auto"/>
      </w:pPr>
      <w:r>
        <w:rPr>
          <w:rFonts w:ascii="Arial" w:hAnsi="Arial"/>
          <w:sz w:val="21"/>
        </w:rPr>
        <w:t>Aim for moderate-to-high humidity, generally about 60-80%, with temporary rises after misting. More important than chasing one hygrometer number is maintaining the correct moisture gradient: the lower substrate should stay evenly moist, while portions of the surface can dry slightly between mistings.</w:t>
      </w:r>
    </w:p>
    <w:p>
      <w:pPr>
        <w:spacing w:after="80" w:line="240" w:lineRule="auto"/>
      </w:pPr>
      <w:r>
        <w:rPr>
          <w:rFonts w:ascii="Arial" w:hAnsi="Arial"/>
          <w:sz w:val="21"/>
        </w:rPr>
        <w:t>The substrate should feel like a wrung-out sponge - damp enough to clump lightly when squeezed, but not dripping, muddy, or sour-smelling. Constant condensation, standing water in the soil, or a swampy smell means the enclosure is too wet or poorly ventilated. Excessively wet, dirty conditions increase the risk of skin and bacterial problems; overly dry conditions can cause dehydration and unwanted estivation.</w:t>
      </w:r>
    </w:p>
    <w:p>
      <w:pPr>
        <w:spacing w:before="80" w:after="40"/>
      </w:pPr>
      <w:r>
        <w:rPr>
          <w:rFonts w:ascii="Arial" w:hAnsi="Arial"/>
          <w:b/>
          <w:sz w:val="27"/>
        </w:rPr>
        <w:t>Water</w:t>
      </w:r>
    </w:p>
    <w:p>
      <w:pPr>
        <w:spacing w:after="80" w:line="240" w:lineRule="auto"/>
      </w:pPr>
      <w:r>
        <w:rPr>
          <w:rFonts w:ascii="Arial" w:hAnsi="Arial"/>
          <w:sz w:val="21"/>
        </w:rPr>
        <w:t>Pacman frogs absorb much of their water directly through the skin. Provide a shallow soaking dish at all times, wide enough for the frog to sit in comfortably but shallow enough that the head remains easily above water. Change the water every day and immediately whenever the frog defecates or drags substrate into it.</w:t>
      </w:r>
    </w:p>
    <w:p>
      <w:pPr>
        <w:spacing w:after="80" w:line="240" w:lineRule="auto"/>
      </w:pPr>
      <w:r>
        <w:rPr>
          <w:rFonts w:ascii="Arial" w:hAnsi="Arial"/>
          <w:sz w:val="21"/>
        </w:rPr>
        <w:t>Use dechlorinated tap water or an appropriate bottled spring water. If your municipal water contains chloramine, simply letting it sit overnight is not enough; use an amphibian-safe conditioner that treats chloramine. Do not use untreated tap water. Distilled water should not be used as the frog’s regular soaking or enclosure water because it lacks the dissolved minerals and electrolytes present in appropriate source water.</w:t>
      </w:r>
    </w:p>
    <w:p>
      <w:pPr>
        <w:spacing w:before="80" w:after="40"/>
      </w:pPr>
      <w:r>
        <w:rPr>
          <w:rFonts w:ascii="Arial" w:hAnsi="Arial"/>
          <w:b/>
          <w:sz w:val="27"/>
        </w:rPr>
        <w:t>Substrate</w:t>
      </w:r>
    </w:p>
    <w:p>
      <w:pPr>
        <w:spacing w:after="80" w:line="240" w:lineRule="auto"/>
      </w:pPr>
      <w:r>
        <w:rPr>
          <w:rFonts w:ascii="Arial" w:hAnsi="Arial"/>
          <w:sz w:val="21"/>
        </w:rPr>
        <w:t>Substrate is one of the most important parts of Pacman frog care because burrowing is a core natural behavior. Adults should have at least 4-6” of soft, diggable substrate, with deeper areas for large females. A naturalistic soil mix made from fertilizer- and pesticide-free organic topsoil with coco coir and a modest amount of washed play sand works well. Cover part of the surface with clean hardwood leaf litter.</w:t>
      </w:r>
    </w:p>
    <w:p>
      <w:pPr>
        <w:spacing w:after="80" w:line="240" w:lineRule="auto"/>
      </w:pPr>
      <w:r>
        <w:rPr>
          <w:rFonts w:ascii="Arial" w:hAnsi="Arial"/>
          <w:sz w:val="21"/>
        </w:rPr>
        <w:t>Coconut fiber by itself can be used temporarily, but a soil-based mix provides better structure and moisture gradients for long-term housing. Avoid chunky coco bark/orchid bark, gravel, pebbles, calcium sand, walnut shell, wood shavings, cedar, pine, reptile carpet, and other abrasive or easily swallowed materials.</w:t>
      </w:r>
    </w:p>
    <w:p>
      <w:pPr>
        <w:spacing w:after="80" w:line="240" w:lineRule="auto"/>
      </w:pPr>
      <w:r>
        <w:rPr>
          <w:rFonts w:ascii="Arial" w:hAnsi="Arial"/>
          <w:sz w:val="21"/>
        </w:rPr>
        <w:t>Loose sphagnum moss can be useful in a limited humid area, but do not use long strands as the main feeding surface because a lunging frog may swallow them with prey. For small juveniles or frogs that consistently grab mouthfuls of substrate, offer food from tongs or a smooth feeding dish/tile while still allowing the animal to live on an appropriate burrowing substrate.</w:t>
      </w:r>
    </w:p>
    <w:p>
      <w:pPr>
        <w:spacing w:before="80" w:after="40"/>
      </w:pPr>
      <w:r>
        <w:rPr>
          <w:rFonts w:ascii="Arial" w:hAnsi="Arial"/>
          <w:b/>
          <w:sz w:val="27"/>
        </w:rPr>
        <w:t>Food</w:t>
      </w:r>
    </w:p>
    <w:p>
      <w:pPr>
        <w:spacing w:after="80" w:line="240" w:lineRule="auto"/>
      </w:pPr>
      <w:r>
        <w:rPr>
          <w:rFonts w:ascii="Arial" w:hAnsi="Arial"/>
          <w:sz w:val="21"/>
        </w:rPr>
        <w:t>Pacman frogs are generalist carnivores and should receive a varied diet rather than being raised on one feeder. Excellent staples include appropriately sized earthworms/nightcrawlers, dubia roaches, crickets, silkworms, and other nutritious gut-loaded invertebrates. Hornworms can provide variety and hydration but should not be the only feeder. Use captive-produced feeders rather than wild insects because of pesticide and parasite risk.</w:t>
      </w:r>
    </w:p>
    <w:p>
      <w:pPr>
        <w:spacing w:after="80" w:line="240" w:lineRule="auto"/>
      </w:pPr>
      <w:r>
        <w:rPr>
          <w:rFonts w:ascii="Arial" w:hAnsi="Arial"/>
          <w:sz w:val="21"/>
        </w:rPr>
        <w:t>Prey size: do not offer a rigid prey item wider than the frog’s head. Long, soft prey such as earthworms can be longer because they fold easily. Remove hard or sharp feeder parts when needed and never force oversized food into the mouth.</w:t>
      </w:r>
    </w:p>
    <w:p>
      <w:pPr>
        <w:spacing w:after="80" w:line="240" w:lineRule="auto"/>
      </w:pPr>
      <w:r>
        <w:rPr>
          <w:rFonts w:ascii="Arial" w:hAnsi="Arial"/>
          <w:b/>
          <w:sz w:val="21"/>
        </w:rPr>
        <w:t>Juveniles: offer small meals every 1-2 days while growing.  Subadults: usually every 2-4 days.  Adults: a moderate meal about every 5-7 days is a reasonable starting point, then adjust to body condition and individual metabolism.</w:t>
      </w:r>
    </w:p>
    <w:p>
      <w:pPr>
        <w:spacing w:after="80" w:line="240" w:lineRule="auto"/>
      </w:pPr>
      <w:r>
        <w:rPr>
          <w:rFonts w:ascii="Arial" w:hAnsi="Arial"/>
          <w:sz w:val="21"/>
        </w:rPr>
        <w:t>Do not power-feed simply because the frog will continue striking. A Pacman frog should be robust and rounded, but obesity is a genuine disease risk. Frequent rodents and other very energy-dense vertebrate prey can drive rapid weight gain and should not be a staple. If whole vertebrate prey is used at all, use appropriately sized frozen/thawed prey only as an occasional item; never offer a live rodent that can injure the frog.</w:t>
      </w:r>
    </w:p>
    <w:p>
      <w:pPr>
        <w:spacing w:after="80" w:line="240" w:lineRule="auto"/>
      </w:pPr>
      <w:r>
        <w:rPr>
          <w:rFonts w:ascii="Arial" w:hAnsi="Arial"/>
          <w:sz w:val="21"/>
        </w:rPr>
        <w:t>Avoid routine feeder fish, especially goldfish or other thiaminase-rich fish, and avoid wild vertebrates. Do not hand-feed with fingers: the feeding response is fast, and Ceratophrys have unusually strong jaws for frogs.</w:t>
      </w:r>
    </w:p>
    <w:p>
      <w:pPr>
        <w:spacing w:before="80" w:after="40"/>
      </w:pPr>
      <w:r>
        <w:rPr>
          <w:rFonts w:ascii="Arial" w:hAnsi="Arial"/>
          <w:b/>
          <w:sz w:val="27"/>
        </w:rPr>
        <w:t>Supplements</w:t>
      </w:r>
    </w:p>
    <w:p>
      <w:pPr>
        <w:spacing w:after="80" w:line="240" w:lineRule="auto"/>
      </w:pPr>
      <w:r>
        <w:rPr>
          <w:rFonts w:ascii="Arial" w:hAnsi="Arial"/>
          <w:sz w:val="21"/>
        </w:rPr>
        <w:t>Captive feeder insects are not nutritionally complete on their own. Gut-load insects with a quality diet before feeding and use a consistent calcium/multivitamin plan. Lightly dust rather than caking prey in powder.</w:t>
      </w:r>
    </w:p>
    <w:p>
      <w:pPr>
        <w:spacing w:after="80" w:line="240" w:lineRule="auto"/>
      </w:pPr>
      <w:r>
        <w:rPr>
          <w:rFonts w:ascii="Arial" w:hAnsi="Arial"/>
          <w:sz w:val="21"/>
        </w:rPr>
        <w:t>For growing juveniles: calcium can be used on most invertebrate meals, with a balanced reptile/amphibian multivitamin about once weekly. For adults: calcium on roughly 1-2 feedings per week and a multivitamin every 2-4 weeks is a practical starting point.</w:t>
      </w:r>
    </w:p>
    <w:p>
      <w:pPr>
        <w:spacing w:after="80" w:line="240" w:lineRule="auto"/>
      </w:pPr>
      <w:r>
        <w:rPr>
          <w:rFonts w:ascii="Arial" w:hAnsi="Arial"/>
          <w:sz w:val="21"/>
        </w:rPr>
        <w:t>If low-level UVB is provided and verified, plain calcium without D3 should usually be the default calcium product. If UVB is not provided, dietary D3 becomes more important; use an appropriate calcium/D3 product periodically according to its formulation rather than stacking multiple high-D3 products at every feeding.</w:t>
      </w:r>
    </w:p>
    <w:p>
      <w:pPr>
        <w:spacing w:after="80" w:line="240" w:lineRule="auto"/>
      </w:pPr>
      <w:r>
        <w:rPr>
          <w:rFonts w:ascii="Arial" w:hAnsi="Arial"/>
          <w:sz w:val="21"/>
        </w:rPr>
        <w:t>Vitamin A matters. Amphibians can develop hypovitaminosis A and “short tongue syndrome” on deficient diets. Choose a reputable multivitamin that provides usable preformed vitamin A (retinol/retinyl esters) rather than relying entirely on beta-carotene. More is not better: vitamin A and D are fat-soluble, so chronic oversupplementation can also cause disease.</w:t>
      </w:r>
    </w:p>
    <w:p>
      <w:pPr>
        <w:spacing w:after="80" w:line="240" w:lineRule="auto"/>
      </w:pPr>
      <w:r>
        <w:rPr>
          <w:rFonts w:ascii="Arial" w:hAnsi="Arial"/>
          <w:sz w:val="21"/>
        </w:rPr>
        <w:t>Decor &amp; Enrichment</w:t>
        <w:br/>
        <w:t>A Pacman frog may not climb around like a tree frog, but it still benefits from environmental choice. Provide deep soil, leaf litter, at least one low hide, broad-leaf plants or artificial foliage, and shaded areas. Keep an open area where the frog can ambush prey without repeatedly striking hard décor.</w:t>
      </w:r>
    </w:p>
    <w:p>
      <w:pPr>
        <w:spacing w:after="80" w:line="240" w:lineRule="auto"/>
      </w:pPr>
      <w:r>
        <w:rPr>
          <w:rFonts w:ascii="Arial" w:hAnsi="Arial"/>
          <w:sz w:val="21"/>
        </w:rPr>
        <w:t>Enrichment for an ambush predator is subtle: rotate appropriate feeder types, occasionally change the location from which prey is presented, maintain several burrowing spots with slightly different moisture levels, and allow the frog to choose its own ambush site. Avoid constantly digging up or relocating a frog simply to make it “active.”</w:t>
      </w:r>
    </w:p>
    <w:p>
      <w:pPr>
        <w:spacing w:before="80" w:after="40"/>
      </w:pPr>
      <w:r>
        <w:rPr>
          <w:rFonts w:ascii="Arial" w:hAnsi="Arial"/>
          <w:b/>
          <w:sz w:val="27"/>
        </w:rPr>
        <w:t>Cleaning &amp; Maintenance</w:t>
      </w:r>
    </w:p>
    <w:p>
      <w:pPr>
        <w:spacing w:after="80" w:line="240" w:lineRule="auto"/>
      </w:pPr>
      <w:r>
        <w:rPr>
          <w:rFonts w:ascii="Arial" w:hAnsi="Arial"/>
          <w:sz w:val="21"/>
        </w:rPr>
        <w:t>Spot-clean feces, urates, shed debris, and spoiled food as soon as they are found. Because Pacman frogs often remain in one burrow for long periods, remove and replace heavily fouled soil around that resting area rather than allowing waste to accumulate beneath the animal. Clean the water dish daily with an amphibian-safe method and rinse away all cleaner residue before refilling.</w:t>
      </w:r>
    </w:p>
    <w:p>
      <w:pPr>
        <w:spacing w:after="80" w:line="240" w:lineRule="auto"/>
      </w:pPr>
      <w:r>
        <w:rPr>
          <w:rFonts w:ascii="Arial" w:hAnsi="Arial"/>
          <w:sz w:val="21"/>
        </w:rPr>
        <w:t>In a simple non-bioactive enclosure, replace substrate as it becomes soiled rather than waiting for a fixed calendar date. Bioactive setups can reduce full substrate changes, but they are not maintenance-free: the cleanup crew does not eliminate the need to remove large feces, monitor drainage, replenish leaf litter, and watch for mold, sour soil, or pest outbreaks.</w:t>
      </w:r>
    </w:p>
    <w:p>
      <w:pPr>
        <w:spacing w:before="80" w:after="40"/>
      </w:pPr>
      <w:r>
        <w:rPr>
          <w:rFonts w:ascii="Arial" w:hAnsi="Arial"/>
          <w:b/>
          <w:sz w:val="27"/>
        </w:rPr>
        <w:t>Cohabitation</w:t>
      </w:r>
    </w:p>
    <w:p>
      <w:pPr>
        <w:spacing w:after="80" w:line="240" w:lineRule="auto"/>
      </w:pPr>
      <w:r>
        <w:rPr>
          <w:rFonts w:ascii="Arial" w:hAnsi="Arial"/>
          <w:sz w:val="21"/>
        </w:rPr>
        <w:t>House one Pacman frog per enclosure. They are not social and do not need a companion. Their feeding strategy is to strike first at suitably sized moving animals, and they are capable of injuring or consuming other frogs. Even similarly sized animals can bite limbs or become locked together during attempted predation.</w:t>
      </w:r>
    </w:p>
    <w:p>
      <w:pPr>
        <w:spacing w:before="80" w:after="40"/>
      </w:pPr>
      <w:r>
        <w:rPr>
          <w:rFonts w:ascii="Arial" w:hAnsi="Arial"/>
          <w:b/>
          <w:sz w:val="27"/>
        </w:rPr>
        <w:t>Estivation</w:t>
      </w:r>
    </w:p>
    <w:p>
      <w:pPr>
        <w:spacing w:after="80" w:line="240" w:lineRule="auto"/>
      </w:pPr>
      <w:r>
        <w:rPr>
          <w:rFonts w:ascii="Arial" w:hAnsi="Arial"/>
          <w:sz w:val="21"/>
        </w:rPr>
        <w:t>C. cranwelli naturally experiences strong seasonal changes and can survive dry periods by burrowing and forming a protective cocoon of shed skin. This is a survival strategy, not a routine husbandry goal for a pet frog. There is no need to deliberately induce estivation in a healthy companion animal unless an experienced breeder or amphibian veterinarian is managing a specific breeding protocol.</w:t>
      </w:r>
    </w:p>
    <w:p>
      <w:pPr>
        <w:spacing w:after="80" w:line="240" w:lineRule="auto"/>
      </w:pPr>
      <w:r>
        <w:rPr>
          <w:rFonts w:ascii="Arial" w:hAnsi="Arial"/>
          <w:sz w:val="21"/>
        </w:rPr>
        <w:t>If a pet unexpectedly buries deeply, stops eating, and develops a dry cocoon, first review temperature, substrate moisture, and hydration. Do not peel the cocoon off a dry frog. Restore appropriate environmental conditions gradually and seek an amphibian-experienced veterinarian if the frog is losing weight, appears weak, or fails to recover normally.</w:t>
      </w:r>
    </w:p>
    <w:p>
      <w:pPr>
        <w:spacing w:before="80" w:after="40"/>
      </w:pPr>
      <w:r>
        <w:rPr>
          <w:rFonts w:ascii="Arial" w:hAnsi="Arial"/>
          <w:b/>
          <w:sz w:val="27"/>
        </w:rPr>
        <w:t>Common Health Concerns</w:t>
      </w:r>
    </w:p>
    <w:p>
      <w:pPr>
        <w:spacing w:after="80" w:line="240" w:lineRule="auto"/>
      </w:pPr>
      <w:r>
        <w:rPr>
          <w:rFonts w:ascii="Arial" w:hAnsi="Arial"/>
          <w:sz w:val="21"/>
        </w:rPr>
        <w:t>•  Obesity: common with oversized meals, frequent rodents, or feeding whenever the frog begs/strikes. Track body condition and, ideally, weight.</w:t>
      </w:r>
    </w:p>
    <w:p>
      <w:pPr>
        <w:spacing w:after="80" w:line="240" w:lineRule="auto"/>
      </w:pPr>
      <w:r>
        <w:rPr>
          <w:rFonts w:ascii="Arial" w:hAnsi="Arial"/>
          <w:sz w:val="21"/>
        </w:rPr>
        <w:t>•  Metabolic bone disease: can result from calcium/vitamin D imbalance or inadequate overall nutrition. Tremors, weak limbs, a soft jaw, abnormal posture, or difficulty striking require veterinary attention.</w:t>
      </w:r>
    </w:p>
    <w:p>
      <w:pPr>
        <w:spacing w:after="80" w:line="240" w:lineRule="auto"/>
      </w:pPr>
      <w:r>
        <w:rPr>
          <w:rFonts w:ascii="Arial" w:hAnsi="Arial"/>
          <w:sz w:val="21"/>
        </w:rPr>
        <w:t>•  Vitamin A deficiency: may cause poor appetite, weight loss, mouth changes, swollen tissues, or difficulty extending/capturing prey with the tongue.</w:t>
      </w:r>
    </w:p>
    <w:p>
      <w:pPr>
        <w:spacing w:after="80" w:line="240" w:lineRule="auto"/>
      </w:pPr>
      <w:r>
        <w:rPr>
          <w:rFonts w:ascii="Arial" w:hAnsi="Arial"/>
          <w:sz w:val="21"/>
        </w:rPr>
        <w:t>•  Impaction/obstruction: risk rises with coarse or indigestible substrate, oversized prey, dehydration, and inadequate temperatures. Persistent bloating, straining, or loss of appetite after ingestion of foreign material warrants a vet.</w:t>
      </w:r>
    </w:p>
    <w:p>
      <w:pPr>
        <w:spacing w:after="80" w:line="240" w:lineRule="auto"/>
      </w:pPr>
      <w:r>
        <w:rPr>
          <w:rFonts w:ascii="Arial" w:hAnsi="Arial"/>
          <w:sz w:val="21"/>
        </w:rPr>
        <w:t>•  Skin disease / “red leg” signs: red or purple belly/legs, ulcers, foul skin, unusual shedding, lethargy, or swelling can indicate serious infection or environmental injury and should not be treated only by changing the substrate.</w:t>
      </w:r>
    </w:p>
    <w:p>
      <w:pPr>
        <w:spacing w:after="80" w:line="240" w:lineRule="auto"/>
      </w:pPr>
      <w:r>
        <w:rPr>
          <w:rFonts w:ascii="Arial" w:hAnsi="Arial"/>
          <w:sz w:val="21"/>
        </w:rPr>
        <w:t>•  Edema or abnormal bloating: a frog can look round after a meal or before eliminating waste, but persistent fluid-like swelling is not normal and can reflect serious systemic disease.</w:t>
      </w:r>
    </w:p>
    <w:p>
      <w:pPr>
        <w:spacing w:after="80" w:line="240" w:lineRule="auto"/>
      </w:pPr>
      <w:r>
        <w:rPr>
          <w:rFonts w:ascii="Arial" w:hAnsi="Arial"/>
          <w:sz w:val="21"/>
        </w:rPr>
        <w:t>Seek an amphibian-experienced veterinarian promptly for open-mouth or labored breathing, inability to right itself, seizures/tremors, prolapse, bleeding, severe redness, persistent edema, major weight loss, or prolonged refusal to eat accompanied by declining condition.</w:t>
      </w:r>
    </w:p>
    <w:p>
      <w:pPr>
        <w:spacing w:before="80" w:after="40"/>
      </w:pPr>
      <w:r>
        <w:rPr>
          <w:rFonts w:ascii="Arial" w:hAnsi="Arial"/>
          <w:b/>
          <w:sz w:val="27"/>
        </w:rPr>
        <w:t>Hot Tip: Handling</w:t>
      </w:r>
    </w:p>
    <w:p>
      <w:pPr>
        <w:spacing w:after="80" w:line="240" w:lineRule="auto"/>
      </w:pPr>
      <w:r>
        <w:rPr>
          <w:rFonts w:ascii="Arial" w:hAnsi="Arial"/>
          <w:sz w:val="21"/>
        </w:rPr>
        <w:t>Pacman frogs are display animals. Routine handling provides no benefit and can damage their permeable skin. For enclosure maintenance or transport, guide the frog into a clean damp container or use clean, powder-free nitrile gloves moistened with safe water. If bare hands must be used in an emergency, rinse them thoroughly with safe water first and make sure they are free of soap, sanitizer, lotion, nicotine, perfume, cleaners, or other residues.</w:t>
      </w:r>
    </w:p>
    <w:p>
      <w:pPr>
        <w:spacing w:after="80" w:line="240" w:lineRule="auto"/>
      </w:pPr>
      <w:r>
        <w:rPr>
          <w:rFonts w:ascii="Arial" w:hAnsi="Arial"/>
          <w:sz w:val="21"/>
        </w:rPr>
        <w:t>Support the entire body and keep the frog low over a safe surface. Never restrain around the abdomen and never put fingers near the mouth during feeding. Wash your hands after contact with the frog or enclosure.</w:t>
      </w:r>
    </w:p>
    <w:p>
      <w:pPr>
        <w:spacing w:before="80" w:after="40"/>
      </w:pPr>
      <w:r>
        <w:rPr>
          <w:rFonts w:ascii="Arial" w:hAnsi="Arial"/>
          <w:b/>
          <w:sz w:val="27"/>
        </w:rPr>
        <w:t>Care Standards Note</w:t>
      </w:r>
    </w:p>
    <w:p>
      <w:pPr>
        <w:spacing w:after="80" w:line="240" w:lineRule="auto"/>
      </w:pPr>
      <w:r>
        <w:rPr>
          <w:rFonts w:ascii="Arial" w:hAnsi="Arial"/>
          <w:sz w:val="21"/>
        </w:rPr>
        <w:t>This guide is intended as a welfare-forward baseline for a healthy captive-bred Pacman frog. Individual animals, unusual morphs, and species other than C. cranwelli may need adjustments. A care sheet cannot replace veterinary diagnosis, and persistent health problems should be evaluated by a veterinarian experienced with amphibians.</w:t>
      </w:r>
    </w:p>
    <w:p>
      <w:pPr>
        <w:spacing w:before="160"/>
        <w:jc w:val="center"/>
      </w:pPr>
      <w:r>
        <w:drawing>
          <wp:inline xmlns:a="http://schemas.openxmlformats.org/drawingml/2006/main" xmlns:pic="http://schemas.openxmlformats.org/drawingml/2006/picture">
            <wp:extent cx="4023360" cy="1659498"/>
            <wp:docPr id="1" name="Picture 1"/>
            <wp:cNvGraphicFramePr>
              <a:graphicFrameLocks noChangeAspect="1"/>
            </wp:cNvGraphicFramePr>
            <a:graphic>
              <a:graphicData uri="http://schemas.openxmlformats.org/drawingml/2006/picture">
                <pic:pic>
                  <pic:nvPicPr>
                    <pic:cNvPr id="0" name="Logo Letters.png"/>
                    <pic:cNvPicPr/>
                  </pic:nvPicPr>
                  <pic:blipFill>
                    <a:blip r:embed="rId10"/>
                    <a:stretch>
                      <a:fillRect/>
                    </a:stretch>
                  </pic:blipFill>
                  <pic:spPr>
                    <a:xfrm>
                      <a:off x="0" y="0"/>
                      <a:ext cx="4023360" cy="1659498"/>
                    </a:xfrm>
                    <a:prstGeom prst="rect"/>
                  </pic:spPr>
                </pic:pic>
              </a:graphicData>
            </a:graphic>
          </wp:inline>
        </w:drawing>
      </w:r>
    </w:p>
    <w:sectPr w:rsidR="00FC693F" w:rsidRPr="0006063C" w:rsidSect="00034616">
      <w:headerReference w:type="default" r:id="rId9"/>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anchor distT="0" distB="0" distL="0" distR="0" simplePos="0" relativeHeight="251658240" behindDoc="1" locked="0" layoutInCell="1" allowOverlap="1">
          <wp:simplePos x="0" y="0"/>
          <wp:positionH relativeFrom="page">
            <wp:align>center</wp:align>
          </wp:positionH>
          <wp:positionV relativeFrom="page">
            <wp:align>center</wp:align>
          </wp:positionV>
          <wp:extent cx="6492240" cy="5273902"/>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92240" cy="5273902"/>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